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360" w:rsidRDefault="00ED220E" w:rsidP="00A8036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Synthèse théorique du </w:t>
      </w:r>
      <w:proofErr w:type="spellStart"/>
      <w:r>
        <w:rPr>
          <w:b/>
          <w:sz w:val="28"/>
          <w:szCs w:val="28"/>
          <w:u w:val="single"/>
        </w:rPr>
        <w:t>Cinnamylène-dilysergamide</w:t>
      </w:r>
      <w:proofErr w:type="spellEnd"/>
      <w:r>
        <w:rPr>
          <w:b/>
          <w:sz w:val="28"/>
          <w:szCs w:val="28"/>
          <w:u w:val="single"/>
        </w:rPr>
        <w:t xml:space="preserve"> (CDLSA)</w:t>
      </w:r>
    </w:p>
    <w:p w:rsidR="00801A86" w:rsidRPr="008B1CB4" w:rsidRDefault="00801A86">
      <w:pPr>
        <w:rPr>
          <w:b/>
          <w:sz w:val="28"/>
          <w:szCs w:val="28"/>
          <w:u w:val="single"/>
        </w:rPr>
      </w:pPr>
      <w:r w:rsidRPr="008B1CB4">
        <w:rPr>
          <w:b/>
          <w:sz w:val="28"/>
          <w:szCs w:val="28"/>
          <w:u w:val="single"/>
        </w:rPr>
        <w:t>Réactifs :</w:t>
      </w:r>
    </w:p>
    <w:p w:rsidR="00801A86" w:rsidRDefault="00801A86"/>
    <w:p w:rsidR="000A7007" w:rsidRDefault="000A7007">
      <w:r w:rsidRPr="008B1CB4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287655</wp:posOffset>
            </wp:positionV>
            <wp:extent cx="1011555" cy="141478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0F8" w:rsidRPr="008B1CB4">
        <w:rPr>
          <w:u w:val="single"/>
        </w:rPr>
        <w:t>LSA ou Lysergamide </w:t>
      </w:r>
      <w:r w:rsidR="006C40F8">
        <w:t>:</w:t>
      </w:r>
    </w:p>
    <w:p w:rsidR="006C40F8" w:rsidRDefault="006C40F8"/>
    <w:p w:rsidR="00DC6D23" w:rsidRPr="001E30F6" w:rsidRDefault="00DC6D23">
      <w:r>
        <w:t xml:space="preserve">Formule Brute =&gt; </w:t>
      </w:r>
      <w:r w:rsidR="001E30F6">
        <w:t>C</w:t>
      </w:r>
      <w:r w:rsidR="001E30F6" w:rsidRPr="001E30F6">
        <w:rPr>
          <w:sz w:val="16"/>
          <w:szCs w:val="16"/>
        </w:rPr>
        <w:t>16</w:t>
      </w:r>
      <w:r w:rsidR="001E30F6">
        <w:t>H</w:t>
      </w:r>
      <w:r w:rsidR="001E30F6" w:rsidRPr="001E30F6">
        <w:rPr>
          <w:sz w:val="16"/>
          <w:szCs w:val="16"/>
        </w:rPr>
        <w:t>17</w:t>
      </w:r>
      <w:r w:rsidR="001E30F6">
        <w:t>N</w:t>
      </w:r>
      <w:r w:rsidR="001E30F6" w:rsidRPr="000531B5">
        <w:rPr>
          <w:sz w:val="16"/>
          <w:szCs w:val="16"/>
        </w:rPr>
        <w:t>3</w:t>
      </w:r>
      <w:r w:rsidR="001E30F6">
        <w:t>O</w:t>
      </w:r>
    </w:p>
    <w:p w:rsidR="00564220" w:rsidRDefault="000531B5">
      <w:r>
        <w:t xml:space="preserve">LogP3 = 1,6 (coefficient de </w:t>
      </w:r>
      <w:r w:rsidR="00801A86">
        <w:t>partition)</w:t>
      </w:r>
      <w:r w:rsidR="00564220">
        <w:t xml:space="preserve">   =</w:t>
      </w:r>
      <w:r w:rsidR="00C95526">
        <w:t>&gt;</w:t>
      </w:r>
      <w:r w:rsidR="002F01E5">
        <w:t xml:space="preserve"> Le coefficient d’Hydrophobicité donne des informations sur la pharmacocinétique des molécules, car elle </w:t>
      </w:r>
      <w:r w:rsidR="005A4CF3">
        <w:t xml:space="preserve">donne des informations sur la facilité avec </w:t>
      </w:r>
      <w:r w:rsidR="00E66386">
        <w:t xml:space="preserve">laquelle </w:t>
      </w:r>
      <w:r w:rsidR="005A4CF3">
        <w:t xml:space="preserve">les molécules vont pouvoir passer les barrières lipidiques des membranes cellulaires. Le </w:t>
      </w:r>
      <w:r w:rsidR="00C95526">
        <w:t>Coefficient d'Hydrophobicité de la molécule</w:t>
      </w:r>
      <w:r w:rsidR="00827B22">
        <w:t xml:space="preserve"> est</w:t>
      </w:r>
      <w:r w:rsidR="00C95526">
        <w:t xml:space="preserve"> ici </w:t>
      </w:r>
      <w:r w:rsidR="00D14BE1">
        <w:t xml:space="preserve">&lt;5 donc considéré comme suffisamment </w:t>
      </w:r>
      <w:r w:rsidR="009E113E">
        <w:t>hydrosoluble pou</w:t>
      </w:r>
      <w:r w:rsidR="00510231">
        <w:t>r</w:t>
      </w:r>
      <w:r w:rsidR="009E113E">
        <w:t xml:space="preserve"> </w:t>
      </w:r>
      <w:r w:rsidR="00510231">
        <w:t xml:space="preserve">être </w:t>
      </w:r>
      <w:proofErr w:type="spellStart"/>
      <w:r w:rsidR="00D14BE1">
        <w:t>biodisponible</w:t>
      </w:r>
      <w:proofErr w:type="spellEnd"/>
      <w:r w:rsidR="00D14BE1">
        <w:t xml:space="preserve"> oralement mais</w:t>
      </w:r>
      <w:r w:rsidR="00510231">
        <w:t xml:space="preserve"> est</w:t>
      </w:r>
      <w:r w:rsidR="00D14BE1">
        <w:t xml:space="preserve"> </w:t>
      </w:r>
      <w:r w:rsidR="00C6028E">
        <w:t>relativement peu élevé</w:t>
      </w:r>
      <w:r w:rsidR="00827B22">
        <w:t xml:space="preserve"> donc la molécule diffuse relativement lentement dans les lipides.</w:t>
      </w:r>
    </w:p>
    <w:p w:rsidR="00867060" w:rsidRDefault="00C6028E">
      <w:r>
        <w:t>Cohérent si on considère que l'</w:t>
      </w:r>
      <w:proofErr w:type="spellStart"/>
      <w:r>
        <w:t>onset</w:t>
      </w:r>
      <w:proofErr w:type="spellEnd"/>
      <w:r>
        <w:t xml:space="preserve"> habituel du LSA </w:t>
      </w:r>
      <w:r w:rsidR="003D36A3">
        <w:t xml:space="preserve">se situe habituellement autour d'une heure. De plus ce </w:t>
      </w:r>
      <w:r w:rsidR="00FB7551">
        <w:t>coefficient</w:t>
      </w:r>
      <w:r w:rsidR="003D36A3">
        <w:t xml:space="preserve"> de partition relativement faible explique</w:t>
      </w:r>
      <w:r w:rsidR="00FB7551">
        <w:t xml:space="preserve"> en partie l'action moindre du LSA comparativement aux autres psychédéliques, l'hydrophobicité jouant un rôle crucial </w:t>
      </w:r>
      <w:r w:rsidR="00FB7521">
        <w:t>dans la liaison ligand-récepteur ciblé, ainsi ce coefficient bas</w:t>
      </w:r>
      <w:r w:rsidR="001459EA">
        <w:t xml:space="preserve"> </w:t>
      </w:r>
      <w:r w:rsidR="009527F0">
        <w:t xml:space="preserve">impliquerait un </w:t>
      </w:r>
      <w:proofErr w:type="spellStart"/>
      <w:r w:rsidR="009527F0">
        <w:t>agonisme</w:t>
      </w:r>
      <w:proofErr w:type="spellEnd"/>
      <w:r w:rsidR="009527F0">
        <w:t xml:space="preserve"> partiel </w:t>
      </w:r>
      <w:r w:rsidR="00867060">
        <w:t>du LSA pour les récepteurs 5HT2A</w:t>
      </w:r>
    </w:p>
    <w:p w:rsidR="002B6C53" w:rsidRDefault="002B6C53">
      <w:r>
        <w:t xml:space="preserve">Pour information, le LSD possède un LogP3 </w:t>
      </w:r>
      <w:r w:rsidR="00EB4E9B">
        <w:t>de 2,9</w:t>
      </w:r>
      <w:r w:rsidR="009D06EF">
        <w:t xml:space="preserve">, il est donc significativement plus </w:t>
      </w:r>
      <w:r w:rsidR="004E3232">
        <w:t>hydrophobique</w:t>
      </w:r>
      <w:r w:rsidR="009D06EF">
        <w:t xml:space="preserve"> que </w:t>
      </w:r>
      <w:r w:rsidR="00426452">
        <w:t>le LSA (on est sur une échelle logarithmique donc ce n'est pas linéaire)</w:t>
      </w:r>
      <w:r w:rsidR="004E3232">
        <w:t>.</w:t>
      </w:r>
      <w:r w:rsidR="00AD4373">
        <w:t xml:space="preserve"> Il traverse mieux les membranes cellulaires et se fixe beaucoup mieux sur </w:t>
      </w:r>
      <w:r w:rsidR="00C0375B">
        <w:t xml:space="preserve">les récepteurs. Cohérent toujours, le LSD ayant un </w:t>
      </w:r>
      <w:proofErr w:type="spellStart"/>
      <w:r w:rsidR="00C0375B">
        <w:t>onset</w:t>
      </w:r>
      <w:proofErr w:type="spellEnd"/>
      <w:r w:rsidR="00C0375B">
        <w:t xml:space="preserve"> moyen de </w:t>
      </w:r>
      <w:r w:rsidR="00D42227">
        <w:t>30 minutes, et étant bien plus puissant que le LSA.</w:t>
      </w:r>
    </w:p>
    <w:p w:rsidR="00D42227" w:rsidRDefault="00D42227"/>
    <w:p w:rsidR="00801A86" w:rsidRDefault="00801A86"/>
    <w:p w:rsidR="008B1CB4" w:rsidRDefault="008B1CB4">
      <w:proofErr w:type="spellStart"/>
      <w:r w:rsidRPr="008B1CB4">
        <w:rPr>
          <w:u w:val="single"/>
        </w:rPr>
        <w:t>Cinnamaldéhyde</w:t>
      </w:r>
      <w:proofErr w:type="spellEnd"/>
      <w:r>
        <w:t> :</w:t>
      </w:r>
    </w:p>
    <w:p w:rsidR="008B1CB4" w:rsidRDefault="0099319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52070</wp:posOffset>
            </wp:positionV>
            <wp:extent cx="1534160" cy="914400"/>
            <wp:effectExtent l="0" t="0" r="889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319A" w:rsidRDefault="0099319A">
      <w:r>
        <w:t>Formule Brute =&gt; C</w:t>
      </w:r>
      <w:r w:rsidRPr="00564220">
        <w:rPr>
          <w:sz w:val="16"/>
          <w:szCs w:val="16"/>
        </w:rPr>
        <w:t>9</w:t>
      </w:r>
      <w:r>
        <w:t>H</w:t>
      </w:r>
      <w:r w:rsidRPr="00564220">
        <w:rPr>
          <w:sz w:val="16"/>
          <w:szCs w:val="16"/>
        </w:rPr>
        <w:t>8</w:t>
      </w:r>
      <w:r>
        <w:t>O</w:t>
      </w:r>
    </w:p>
    <w:p w:rsidR="00D42227" w:rsidRDefault="002B28BC">
      <w:r>
        <w:lastRenderedPageBreak/>
        <w:t xml:space="preserve">Aldéhyde </w:t>
      </w:r>
      <w:r w:rsidR="00F9735F">
        <w:t>réagissant préférentiellement sur les amides avec un ratio 2 :1</w:t>
      </w:r>
      <w:r w:rsidR="006A5ADC">
        <w:t xml:space="preserve"> sans nécessiter de catalyse</w:t>
      </w:r>
      <w:bookmarkStart w:id="0" w:name="_GoBack"/>
      <w:bookmarkEnd w:id="0"/>
      <w:r w:rsidR="00F9735F">
        <w:t>, on part du principe qu'il se comporte avec le LSA comme avec les autres amides</w:t>
      </w:r>
      <w:r w:rsidR="00DA56FD">
        <w:t>.</w:t>
      </w:r>
    </w:p>
    <w:p w:rsidR="00CA1632" w:rsidRDefault="00CA1632">
      <w:pPr>
        <w:rPr>
          <w:b/>
          <w:sz w:val="28"/>
          <w:szCs w:val="28"/>
          <w:u w:val="single"/>
        </w:rPr>
      </w:pPr>
    </w:p>
    <w:p w:rsidR="001277FF" w:rsidRDefault="001277FF">
      <w:pPr>
        <w:rPr>
          <w:b/>
          <w:sz w:val="28"/>
          <w:szCs w:val="28"/>
          <w:u w:val="single"/>
        </w:rPr>
      </w:pPr>
      <w:r w:rsidRPr="001277FF">
        <w:rPr>
          <w:b/>
          <w:sz w:val="28"/>
          <w:szCs w:val="28"/>
          <w:u w:val="single"/>
        </w:rPr>
        <w:t>Réaction Considérée :</w:t>
      </w:r>
    </w:p>
    <w:p w:rsidR="00510231" w:rsidRDefault="00510231">
      <w:pPr>
        <w:rPr>
          <w:b/>
          <w:sz w:val="28"/>
          <w:szCs w:val="28"/>
          <w:u w:val="single"/>
        </w:rPr>
      </w:pPr>
    </w:p>
    <w:p w:rsidR="00510231" w:rsidRDefault="00107900">
      <w:r>
        <w:t>2C</w:t>
      </w:r>
      <w:r>
        <w:rPr>
          <w:sz w:val="16"/>
          <w:szCs w:val="16"/>
        </w:rPr>
        <w:t>16</w:t>
      </w:r>
      <w:r>
        <w:t>H</w:t>
      </w:r>
      <w:r w:rsidR="00F468E6">
        <w:rPr>
          <w:sz w:val="16"/>
          <w:szCs w:val="16"/>
        </w:rPr>
        <w:t>17</w:t>
      </w:r>
      <w:r w:rsidR="00F468E6">
        <w:t>N</w:t>
      </w:r>
      <w:r w:rsidR="00F468E6">
        <w:rPr>
          <w:sz w:val="16"/>
          <w:szCs w:val="16"/>
        </w:rPr>
        <w:t>3</w:t>
      </w:r>
      <w:r w:rsidR="00F468E6">
        <w:t xml:space="preserve">O + </w:t>
      </w:r>
      <w:r w:rsidR="003B3650">
        <w:t>C</w:t>
      </w:r>
      <w:r w:rsidR="003B3650">
        <w:rPr>
          <w:sz w:val="16"/>
          <w:szCs w:val="16"/>
        </w:rPr>
        <w:t>9</w:t>
      </w:r>
      <w:r w:rsidR="003B3650">
        <w:t>H</w:t>
      </w:r>
      <w:r w:rsidR="003B3650">
        <w:rPr>
          <w:sz w:val="16"/>
          <w:szCs w:val="16"/>
        </w:rPr>
        <w:t>8</w:t>
      </w:r>
      <w:r w:rsidR="00F15DC7">
        <w:t xml:space="preserve">O </w:t>
      </w:r>
      <w:r w:rsidR="00DA56FD">
        <w:t>=&gt; C</w:t>
      </w:r>
      <w:r w:rsidR="00DA56FD">
        <w:rPr>
          <w:sz w:val="16"/>
          <w:szCs w:val="16"/>
        </w:rPr>
        <w:t>41</w:t>
      </w:r>
      <w:r w:rsidR="00E756B8">
        <w:t>H</w:t>
      </w:r>
      <w:r w:rsidR="00E756B8">
        <w:rPr>
          <w:sz w:val="16"/>
          <w:szCs w:val="16"/>
        </w:rPr>
        <w:t>40</w:t>
      </w:r>
      <w:r w:rsidR="00D35335">
        <w:t>N</w:t>
      </w:r>
      <w:r w:rsidR="00D35335">
        <w:rPr>
          <w:sz w:val="16"/>
          <w:szCs w:val="16"/>
        </w:rPr>
        <w:t>6</w:t>
      </w:r>
      <w:r w:rsidR="00D35335">
        <w:t>O</w:t>
      </w:r>
      <w:r w:rsidR="00D35335">
        <w:rPr>
          <w:sz w:val="16"/>
          <w:szCs w:val="16"/>
        </w:rPr>
        <w:t>2</w:t>
      </w:r>
      <w:r w:rsidR="00D842E9">
        <w:rPr>
          <w:sz w:val="16"/>
          <w:szCs w:val="16"/>
        </w:rPr>
        <w:t xml:space="preserve"> + </w:t>
      </w:r>
      <w:r w:rsidR="00D842E9">
        <w:t>H</w:t>
      </w:r>
      <w:r w:rsidR="00D842E9">
        <w:rPr>
          <w:sz w:val="16"/>
          <w:szCs w:val="16"/>
        </w:rPr>
        <w:t>2</w:t>
      </w:r>
      <w:r w:rsidR="00D842E9">
        <w:t>O</w:t>
      </w:r>
    </w:p>
    <w:p w:rsidR="00D842E9" w:rsidRDefault="00D842E9">
      <w:r>
        <w:t>On remarquera que la réaction ne forme pas véritablement un adduit, car on obtient aussi une molécule d'eau.</w:t>
      </w:r>
    </w:p>
    <w:p w:rsidR="00225DA6" w:rsidRDefault="00225DA6"/>
    <w:p w:rsidR="00225DA6" w:rsidRDefault="007F77E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Concentrations en réactifs :</w:t>
      </w:r>
    </w:p>
    <w:p w:rsidR="00CA1632" w:rsidRDefault="0045792B">
      <w:r>
        <w:t xml:space="preserve">Il est difficile de </w:t>
      </w:r>
      <w:r w:rsidR="00A91334">
        <w:t xml:space="preserve">donner une concentration exacte de LSA dans les </w:t>
      </w:r>
      <w:proofErr w:type="spellStart"/>
      <w:r w:rsidR="00A91334">
        <w:t>Hawaiian</w:t>
      </w:r>
      <w:proofErr w:type="spellEnd"/>
      <w:r w:rsidR="00A91334">
        <w:t xml:space="preserve"> Baby </w:t>
      </w:r>
      <w:proofErr w:type="spellStart"/>
      <w:r w:rsidR="00A91334">
        <w:t>Woodrose</w:t>
      </w:r>
      <w:proofErr w:type="spellEnd"/>
      <w:r w:rsidR="00A91334">
        <w:t xml:space="preserve"> car </w:t>
      </w:r>
      <w:r w:rsidR="007F234E">
        <w:t>cela varie énormément, mais on peut considérer qu'une graine contient en moyenne 200 microgrammes de LSA (</w:t>
      </w:r>
      <w:r w:rsidR="003922D4">
        <w:t xml:space="preserve">170 microgrammes si on en croit les </w:t>
      </w:r>
      <w:r w:rsidR="0004498B">
        <w:t xml:space="preserve">analyses de </w:t>
      </w:r>
      <w:proofErr w:type="spellStart"/>
      <w:r w:rsidR="00026ED9">
        <w:t>Jew</w:t>
      </w:r>
      <w:proofErr w:type="spellEnd"/>
      <w:r w:rsidR="00026ED9">
        <w:t xml:space="preserve"> Ming Chao et </w:t>
      </w:r>
      <w:r w:rsidR="006B7DCB">
        <w:t>Ara H. en 1973)</w:t>
      </w:r>
      <w:r w:rsidR="002F1F9C">
        <w:t>.</w:t>
      </w:r>
    </w:p>
    <w:p w:rsidR="002F1F9C" w:rsidRDefault="00066FF9">
      <w:r>
        <w:t xml:space="preserve">Pour le </w:t>
      </w:r>
      <w:proofErr w:type="spellStart"/>
      <w:r>
        <w:t>Cinnamaldéhyde</w:t>
      </w:r>
      <w:proofErr w:type="spellEnd"/>
      <w:r>
        <w:t xml:space="preserve"> j'utilise une huile essentielle qui en contient à hauteur de 70 pourcent, </w:t>
      </w:r>
      <w:r w:rsidR="00F42667">
        <w:t>une goutte en contient 45 mg.</w:t>
      </w:r>
      <w:r w:rsidR="00FF34AC">
        <w:t xml:space="preserve"> </w:t>
      </w:r>
    </w:p>
    <w:p w:rsidR="00F42667" w:rsidRDefault="00F42667"/>
    <w:p w:rsidR="00F42667" w:rsidRDefault="00A97141">
      <w:r>
        <w:t xml:space="preserve">Je consomme habituellement 4 graines d'HBW pour le LSA, soit 800 microgrammes de LSA selon </w:t>
      </w:r>
      <w:r w:rsidR="00EE2264">
        <w:t>les données plus haut</w:t>
      </w:r>
      <w:r w:rsidR="00CC5988">
        <w:t>.</w:t>
      </w:r>
    </w:p>
    <w:p w:rsidR="00CC5988" w:rsidRDefault="00CC5988">
      <w:r>
        <w:t xml:space="preserve">Le </w:t>
      </w:r>
      <w:r w:rsidR="00AA29A5">
        <w:t>CDLSA</w:t>
      </w:r>
      <w:r w:rsidR="0032449A">
        <w:t xml:space="preserve"> (le produit final) est décrit par les expérimentateurs comme environ 2 à 3 fois plus puissant que le LSA donc je </w:t>
      </w:r>
      <w:r w:rsidR="00FD5240">
        <w:t>divise par 2 ma quantité de LSA soit 400 microgrammes.</w:t>
      </w:r>
    </w:p>
    <w:p w:rsidR="00FD5240" w:rsidRDefault="001005E8">
      <w:r>
        <w:t xml:space="preserve">Je part donc </w:t>
      </w:r>
      <w:r w:rsidR="00FF34AC">
        <w:t xml:space="preserve">sur une base de </w:t>
      </w:r>
      <w:r>
        <w:t xml:space="preserve">3 gouttes d’huile essentielle de cannelle de Chine soit 135 milligrammes de </w:t>
      </w:r>
      <w:proofErr w:type="spellStart"/>
      <w:r>
        <w:t>Cinnamaldéhyde</w:t>
      </w:r>
      <w:proofErr w:type="spellEnd"/>
      <w:r>
        <w:t xml:space="preserve"> et </w:t>
      </w:r>
      <w:r w:rsidR="00BD30E1">
        <w:t>de 400 microgrammes de LSA.</w:t>
      </w:r>
    </w:p>
    <w:p w:rsidR="00FD5240" w:rsidRDefault="00FD5240">
      <w:r>
        <w:rPr>
          <w:b/>
          <w:sz w:val="28"/>
          <w:szCs w:val="28"/>
          <w:u w:val="single"/>
        </w:rPr>
        <w:t>Données des réactifs / produits :</w:t>
      </w:r>
    </w:p>
    <w:p w:rsidR="00FD5240" w:rsidRDefault="006535F4">
      <w:r w:rsidRPr="00A717E7">
        <w:rPr>
          <w:u w:val="single"/>
        </w:rPr>
        <w:t>LSA</w:t>
      </w:r>
      <w:r>
        <w:t> :</w:t>
      </w:r>
    </w:p>
    <w:p w:rsidR="006535F4" w:rsidRDefault="006535F4">
      <w:r>
        <w:t>Masse molaire</w:t>
      </w:r>
      <w:r w:rsidR="00D40646">
        <w:t xml:space="preserve"> M</w:t>
      </w:r>
      <w:r>
        <w:t xml:space="preserve"> : 267,332 g.mol-1 </w:t>
      </w:r>
    </w:p>
    <w:p w:rsidR="006535F4" w:rsidRDefault="005A1BE7">
      <w:r>
        <w:t>Masse utilisée </w:t>
      </w:r>
      <w:r w:rsidR="00D40646">
        <w:t xml:space="preserve">m </w:t>
      </w:r>
      <w:r>
        <w:t>: 400 microgrammes soit</w:t>
      </w:r>
      <w:r w:rsidR="007F69BA">
        <w:t xml:space="preserve"> 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4.10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</m:oMath>
      <w:r>
        <w:t xml:space="preserve"> </w:t>
      </w:r>
      <w:r w:rsidR="006452B8">
        <w:t>grammes</w:t>
      </w:r>
    </w:p>
    <w:p w:rsidR="001277FF" w:rsidRPr="009733A5" w:rsidRDefault="006452B8">
      <w:r>
        <w:t>Quantité de matière</w:t>
      </w:r>
      <w:r w:rsidR="00D40646">
        <w:t xml:space="preserve"> n</w:t>
      </w:r>
      <w:r>
        <w:t xml:space="preserve"> : </w:t>
      </w:r>
      <w:r w:rsidR="00171510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0,4.1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267,332</m:t>
            </m:r>
          </m:den>
        </m:f>
        <m:r>
          <m:rPr>
            <m:sty m:val="p"/>
          </m:rPr>
          <w:rPr>
            <w:rFonts w:ascii="Cambria Math" w:hAnsi="Cambria Math"/>
          </w:rPr>
          <m:t>= 1,5.1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-6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 moles</m:t>
        </m:r>
      </m:oMath>
    </w:p>
    <w:p w:rsidR="00564220" w:rsidRDefault="00564220"/>
    <w:p w:rsidR="00A717E7" w:rsidRDefault="00A717E7">
      <w:proofErr w:type="spellStart"/>
      <w:r w:rsidRPr="00A717E7">
        <w:rPr>
          <w:u w:val="single"/>
        </w:rPr>
        <w:t>Cinnamaldéhyde</w:t>
      </w:r>
      <w:proofErr w:type="spellEnd"/>
      <w:r>
        <w:t> :</w:t>
      </w:r>
    </w:p>
    <w:p w:rsidR="00A717E7" w:rsidRPr="004B2D3F" w:rsidRDefault="00A717E7">
      <w:r>
        <w:t>Masse molaire</w:t>
      </w:r>
      <w:r w:rsidR="00D40646">
        <w:t xml:space="preserve"> M</w:t>
      </w:r>
      <w:r>
        <w:t xml:space="preserve"> : </w:t>
      </w:r>
      <m:oMath>
        <m:r>
          <m:rPr>
            <m:sty m:val="p"/>
          </m:rPr>
          <w:rPr>
            <w:rFonts w:ascii="Cambria Math" w:hAnsi="Cambria Math"/>
          </w:rPr>
          <m:t>132,162 g.mo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</w:p>
    <w:p w:rsidR="004B2D3F" w:rsidRDefault="004B2D3F">
      <w:r>
        <w:t>Masse utilisée</w:t>
      </w:r>
      <w:r w:rsidR="00D40646">
        <w:t xml:space="preserve"> m</w:t>
      </w:r>
      <w:r>
        <w:t xml:space="preserve"> : 135 milligrammes soit </w:t>
      </w:r>
      <w:r w:rsidR="003E274E">
        <w:t>0,135 grammes</w:t>
      </w:r>
    </w:p>
    <w:p w:rsidR="003E274E" w:rsidRPr="00122FB9" w:rsidRDefault="00D40646">
      <w:r>
        <w:t xml:space="preserve">Quantité de matière n 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0,135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132,162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1,02.10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moles</m:t>
        </m:r>
      </m:oMath>
    </w:p>
    <w:p w:rsidR="00122FB9" w:rsidRDefault="00122FB9"/>
    <w:p w:rsidR="00DB3926" w:rsidRDefault="00DB3926"/>
    <w:p w:rsidR="00DB3926" w:rsidRDefault="00DB392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Tableau d'avancement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6"/>
        <w:gridCol w:w="2008"/>
        <w:gridCol w:w="2168"/>
        <w:gridCol w:w="1678"/>
        <w:gridCol w:w="1352"/>
      </w:tblGrid>
      <w:tr w:rsidR="00DD0922" w:rsidTr="00DD0922">
        <w:tc>
          <w:tcPr>
            <w:tcW w:w="1856" w:type="dxa"/>
          </w:tcPr>
          <w:p w:rsidR="00DD0922" w:rsidRDefault="00DD0922" w:rsidP="00DD0922"/>
        </w:tc>
        <w:tc>
          <w:tcPr>
            <w:tcW w:w="2008" w:type="dxa"/>
          </w:tcPr>
          <w:p w:rsidR="007E7A0A" w:rsidRDefault="007E7A0A" w:rsidP="007E7A0A">
            <w:r>
              <w:t>2C</w:t>
            </w:r>
            <w:r>
              <w:rPr>
                <w:sz w:val="16"/>
                <w:szCs w:val="16"/>
              </w:rPr>
              <w:t>16</w:t>
            </w:r>
            <w:r>
              <w:t>H</w:t>
            </w:r>
            <w:r>
              <w:rPr>
                <w:sz w:val="16"/>
                <w:szCs w:val="16"/>
              </w:rPr>
              <w:t>17</w:t>
            </w:r>
            <w:r>
              <w:t>N</w:t>
            </w:r>
            <w:r>
              <w:rPr>
                <w:sz w:val="16"/>
                <w:szCs w:val="16"/>
              </w:rPr>
              <w:t>3</w:t>
            </w:r>
            <w:r>
              <w:t>O</w:t>
            </w:r>
          </w:p>
          <w:p w:rsidR="00DD0922" w:rsidRDefault="00DD0922" w:rsidP="00AC57D2"/>
        </w:tc>
        <w:tc>
          <w:tcPr>
            <w:tcW w:w="2168" w:type="dxa"/>
          </w:tcPr>
          <w:p w:rsidR="00DD0922" w:rsidRDefault="00DD0922" w:rsidP="00AC57D2">
            <w:r>
              <w:t>C</w:t>
            </w:r>
            <w:r>
              <w:rPr>
                <w:sz w:val="16"/>
                <w:szCs w:val="16"/>
              </w:rPr>
              <w:t>9</w:t>
            </w:r>
            <w:r>
              <w:t>H</w:t>
            </w:r>
            <w:r>
              <w:rPr>
                <w:sz w:val="16"/>
                <w:szCs w:val="16"/>
              </w:rPr>
              <w:t>8</w:t>
            </w:r>
            <w:r>
              <w:t>O</w:t>
            </w:r>
          </w:p>
          <w:p w:rsidR="00DD0922" w:rsidRDefault="00DD0922" w:rsidP="00B06743"/>
        </w:tc>
        <w:tc>
          <w:tcPr>
            <w:tcW w:w="1678" w:type="dxa"/>
          </w:tcPr>
          <w:p w:rsidR="00DD0922" w:rsidRDefault="00DD0922" w:rsidP="002E433A">
            <w:r>
              <w:t>C</w:t>
            </w:r>
            <w:r>
              <w:rPr>
                <w:sz w:val="16"/>
                <w:szCs w:val="16"/>
              </w:rPr>
              <w:t>41</w:t>
            </w:r>
            <w:r>
              <w:t>H</w:t>
            </w:r>
            <w:r>
              <w:rPr>
                <w:sz w:val="16"/>
                <w:szCs w:val="16"/>
              </w:rPr>
              <w:t>40</w:t>
            </w:r>
            <w:r>
              <w:t>N</w:t>
            </w:r>
            <w:r>
              <w:rPr>
                <w:sz w:val="16"/>
                <w:szCs w:val="16"/>
              </w:rPr>
              <w:t>6</w:t>
            </w:r>
            <w:r>
              <w:t>O</w:t>
            </w:r>
            <w:r>
              <w:rPr>
                <w:sz w:val="16"/>
                <w:szCs w:val="16"/>
              </w:rPr>
              <w:t>2</w:t>
            </w:r>
          </w:p>
          <w:p w:rsidR="00DD0922" w:rsidRDefault="00DD0922"/>
        </w:tc>
        <w:tc>
          <w:tcPr>
            <w:tcW w:w="1352" w:type="dxa"/>
          </w:tcPr>
          <w:p w:rsidR="00DD0922" w:rsidRDefault="00DD0922">
            <w:r>
              <w:t>H2O</w:t>
            </w:r>
          </w:p>
        </w:tc>
      </w:tr>
      <w:tr w:rsidR="00DD0922" w:rsidTr="00DD0922">
        <w:tc>
          <w:tcPr>
            <w:tcW w:w="1856" w:type="dxa"/>
          </w:tcPr>
          <w:p w:rsidR="00DD0922" w:rsidRDefault="007E7A0A">
            <w:r>
              <w:t>0</w:t>
            </w:r>
          </w:p>
        </w:tc>
        <w:tc>
          <w:tcPr>
            <w:tcW w:w="2008" w:type="dxa"/>
          </w:tcPr>
          <w:p w:rsidR="00DD0922" w:rsidRPr="006D7796" w:rsidRDefault="006D7796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n=1,5.10^-6</m:t>
                </m:r>
              </m:oMath>
            </m:oMathPara>
          </w:p>
        </w:tc>
        <w:tc>
          <w:tcPr>
            <w:tcW w:w="2168" w:type="dxa"/>
          </w:tcPr>
          <w:p w:rsidR="00DD0922" w:rsidRPr="00D05EB2" w:rsidRDefault="00D05EB2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1,02.10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678" w:type="dxa"/>
          </w:tcPr>
          <w:p w:rsidR="00DD0922" w:rsidRDefault="0042135F">
            <w:r>
              <w:t>0</w:t>
            </w:r>
          </w:p>
        </w:tc>
        <w:tc>
          <w:tcPr>
            <w:tcW w:w="1352" w:type="dxa"/>
          </w:tcPr>
          <w:p w:rsidR="00DD0922" w:rsidRDefault="0042135F">
            <w:r>
              <w:t>0</w:t>
            </w:r>
          </w:p>
        </w:tc>
      </w:tr>
      <w:tr w:rsidR="00347EEF" w:rsidTr="00DD0922">
        <w:tc>
          <w:tcPr>
            <w:tcW w:w="1856" w:type="dxa"/>
          </w:tcPr>
          <w:p w:rsidR="00347EEF" w:rsidRDefault="00347EEF">
            <w:r>
              <w:t>X</w:t>
            </w:r>
          </w:p>
        </w:tc>
        <w:tc>
          <w:tcPr>
            <w:tcW w:w="2008" w:type="dxa"/>
          </w:tcPr>
          <w:p w:rsidR="00347EEF" w:rsidRPr="006D7796" w:rsidRDefault="00347EEF" w:rsidP="00B06743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1,5.10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-2x </m:t>
                </m:r>
              </m:oMath>
            </m:oMathPara>
          </w:p>
        </w:tc>
        <w:tc>
          <w:tcPr>
            <w:tcW w:w="2168" w:type="dxa"/>
          </w:tcPr>
          <w:p w:rsidR="00347EEF" w:rsidRDefault="009843DC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1,02.10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-x</m:t>
                </m:r>
              </m:oMath>
            </m:oMathPara>
          </w:p>
        </w:tc>
        <w:tc>
          <w:tcPr>
            <w:tcW w:w="1678" w:type="dxa"/>
          </w:tcPr>
          <w:p w:rsidR="00347EEF" w:rsidRDefault="0042135F">
            <w:r>
              <w:t>X</w:t>
            </w:r>
          </w:p>
        </w:tc>
        <w:tc>
          <w:tcPr>
            <w:tcW w:w="1352" w:type="dxa"/>
          </w:tcPr>
          <w:p w:rsidR="00347EEF" w:rsidRDefault="0042135F">
            <w:r>
              <w:t>X</w:t>
            </w:r>
          </w:p>
        </w:tc>
      </w:tr>
      <w:tr w:rsidR="00347EEF" w:rsidTr="00DD0922">
        <w:tc>
          <w:tcPr>
            <w:tcW w:w="1856" w:type="dxa"/>
          </w:tcPr>
          <w:p w:rsidR="00347EEF" w:rsidRDefault="00347EEF">
            <w:proofErr w:type="spellStart"/>
            <w:r>
              <w:t>Xmax</w:t>
            </w:r>
            <w:proofErr w:type="spellEnd"/>
          </w:p>
        </w:tc>
        <w:tc>
          <w:tcPr>
            <w:tcW w:w="2008" w:type="dxa"/>
          </w:tcPr>
          <w:p w:rsidR="00347EEF" w:rsidRPr="00DB152A" w:rsidRDefault="00CA3FC8" w:rsidP="00B06743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n=</m:t>
                </m:r>
                <m:sSup>
                  <m:s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1,5.10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-6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-2xmax </m:t>
                </m:r>
              </m:oMath>
            </m:oMathPara>
          </w:p>
        </w:tc>
        <w:tc>
          <w:tcPr>
            <w:tcW w:w="2168" w:type="dxa"/>
          </w:tcPr>
          <w:p w:rsidR="00347EEF" w:rsidRPr="000A1A92" w:rsidRDefault="009843DC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n=</m:t>
                </m:r>
                <m:sSup>
                  <m:s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1,02.10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-3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-xmax</m:t>
                </m:r>
              </m:oMath>
            </m:oMathPara>
          </w:p>
        </w:tc>
        <w:tc>
          <w:tcPr>
            <w:tcW w:w="1678" w:type="dxa"/>
          </w:tcPr>
          <w:p w:rsidR="00347EEF" w:rsidRDefault="0042135F">
            <w:proofErr w:type="spellStart"/>
            <w:r>
              <w:t>Xmax</w:t>
            </w:r>
            <w:proofErr w:type="spellEnd"/>
          </w:p>
        </w:tc>
        <w:tc>
          <w:tcPr>
            <w:tcW w:w="1352" w:type="dxa"/>
          </w:tcPr>
          <w:p w:rsidR="00347EEF" w:rsidRDefault="0042135F">
            <w:proofErr w:type="spellStart"/>
            <w:r>
              <w:t>Xmax</w:t>
            </w:r>
            <w:proofErr w:type="spellEnd"/>
          </w:p>
        </w:tc>
      </w:tr>
    </w:tbl>
    <w:p w:rsidR="00DB3926" w:rsidRPr="00DB3926" w:rsidRDefault="00DB3926"/>
    <w:p w:rsidR="009C7AF7" w:rsidRDefault="0042135F">
      <w:r>
        <w:t>Réactif limitant :</w:t>
      </w:r>
    </w:p>
    <w:p w:rsidR="00F51C7C" w:rsidRDefault="000D3E0B">
      <w:r>
        <w:t>LSA =&gt;</w:t>
      </w:r>
    </w:p>
    <w:p w:rsidR="00DF3B1F" w:rsidRPr="00085A21" w:rsidRDefault="000D3E0B"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1,5.10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 xml:space="preserve">-2xmax=0 </m:t>
        </m:r>
        <m:r>
          <m:rPr>
            <m:sty m:val="p"/>
          </m:rPr>
          <w:rPr>
            <w:rFonts w:ascii="Cambria Math" w:hAnsi="Cambria Math"/>
          </w:rPr>
          <w:sym w:font="Wingdings" w:char="F0F3"/>
        </m:r>
        <m:r>
          <m:rPr>
            <m:sty m:val="p"/>
          </m:rPr>
          <w:rPr>
            <w:rFonts w:ascii="Cambria Math" w:hAnsi="Cambria Math"/>
          </w:rPr>
          <m:t xml:space="preserve"> 2xmax=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1,5.10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085A21">
        <w:t xml:space="preserve">                       </w:t>
      </w:r>
      <m:oMath>
        <m:r>
          <w:rPr>
            <w:rFonts w:ascii="Cambria Math" w:hAnsi="Cambria Math"/>
          </w:rPr>
          <m:t>Xmax=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1,5.10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7,5.10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</m:oMath>
    </w:p>
    <w:p w:rsidR="00085A21" w:rsidRDefault="00085A21"/>
    <w:p w:rsidR="00201ED6" w:rsidRDefault="00201ED6"/>
    <w:p w:rsidR="00201ED6" w:rsidRDefault="00201ED6"/>
    <w:p w:rsidR="00085A21" w:rsidRPr="00EB442E" w:rsidRDefault="00085A21">
      <w:proofErr w:type="spellStart"/>
      <w:r>
        <w:t>Cinnamaldéhyde</w:t>
      </w:r>
      <w:proofErr w:type="spellEnd"/>
      <w:r>
        <w:t xml:space="preserve"> =&gt;</w:t>
      </w:r>
      <w:r w:rsidR="00EB442E"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1,02.10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 xml:space="preserve">-xmax=0  </m:t>
        </m:r>
        <m:r>
          <m:rPr>
            <m:sty m:val="p"/>
          </m:rPr>
          <w:rPr>
            <w:rFonts w:ascii="Cambria Math" w:hAnsi="Cambria Math"/>
          </w:rPr>
          <m:t xml:space="preserve">&lt;=&gt;   </m:t>
        </m:r>
        <m:r>
          <w:rPr>
            <w:rFonts w:ascii="Cambria Math" w:hAnsi="Cambria Math"/>
          </w:rPr>
          <m:t>xmax=1,02.10^-3</m:t>
        </m:r>
      </m:oMath>
    </w:p>
    <w:p w:rsidR="00F040AC" w:rsidRDefault="00F040AC"/>
    <w:p w:rsidR="00201ED6" w:rsidRPr="009D31A2" w:rsidRDefault="006A5ADC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7,5.10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-7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&lt;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1,02.10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sup>
          </m:sSup>
        </m:oMath>
      </m:oMathPara>
    </w:p>
    <w:p w:rsidR="004A1BBE" w:rsidRDefault="004A1BBE" w:rsidP="00B06743"/>
    <w:p w:rsidR="00144C07" w:rsidRDefault="00144C07" w:rsidP="00B06743">
      <w:r>
        <w:t xml:space="preserve">Donc le LSA est le réactif limitant, le </w:t>
      </w:r>
      <w:proofErr w:type="spellStart"/>
      <w:r>
        <w:t>Cinnamaldéhyde</w:t>
      </w:r>
      <w:proofErr w:type="spellEnd"/>
      <w:r>
        <w:t xml:space="preserve"> est en excès</w:t>
      </w:r>
    </w:p>
    <w:p w:rsidR="009D31A2" w:rsidRDefault="00C82AD5">
      <w:r>
        <w:t xml:space="preserve">Donc </w:t>
      </w:r>
      <m:oMath>
        <m:r>
          <w:rPr>
            <w:rFonts w:ascii="Cambria Math" w:hAnsi="Cambria Math"/>
          </w:rPr>
          <m:t>xmax=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7,5.10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w:rPr>
            <w:rFonts w:ascii="Cambria Math" w:hAnsi="Cambria Math"/>
          </w:rPr>
          <m:t>moles</m:t>
        </m:r>
      </m:oMath>
    </w:p>
    <w:p w:rsidR="009D31A2" w:rsidRDefault="009D31A2"/>
    <w:p w:rsidR="006A4A17" w:rsidRPr="00B8598C" w:rsidRDefault="006A4A17">
      <w:r>
        <w:t xml:space="preserve">À la fin de la réaction on a 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7,5.10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m:rPr>
            <m:sty m:val="p"/>
          </m:rPr>
          <w:rPr>
            <w:rFonts w:ascii="Cambria Math" w:hAnsi="Cambria Math"/>
          </w:rPr>
          <m:t>moles de CDLSA</m:t>
        </m:r>
      </m:oMath>
    </w:p>
    <w:p w:rsidR="00C3338D" w:rsidRDefault="00C3338D"/>
    <w:p w:rsidR="00C3338D" w:rsidRDefault="00C3338D"/>
    <w:p w:rsidR="00B8598C" w:rsidRDefault="008B5FA4">
      <w:r>
        <w:t>Masse molaire du CDLSA = 648,87</w:t>
      </w:r>
    </w:p>
    <w:p w:rsidR="00B8598C" w:rsidRPr="00495E7F" w:rsidRDefault="00B8598C">
      <w:pPr>
        <w:rPr>
          <w:b/>
          <w:color w:val="C00000"/>
          <w:u w:val="single"/>
        </w:rPr>
      </w:pPr>
      <w:r w:rsidRPr="00495E7F">
        <w:rPr>
          <w:b/>
          <w:color w:val="C00000"/>
          <w:u w:val="single"/>
        </w:rPr>
        <w:t>Masse obtenue :</w:t>
      </w:r>
    </w:p>
    <w:p w:rsidR="00B8598C" w:rsidRDefault="00B8598C"/>
    <w:p w:rsidR="00B8598C" w:rsidRPr="00B8598C" w:rsidRDefault="004A7A86">
      <m:oMathPara>
        <m:oMath>
          <m:r>
            <w:rPr>
              <w:rFonts w:ascii="Cambria Math" w:hAnsi="Cambria Math"/>
            </w:rPr>
            <m:t>m=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7,5.10</m:t>
              </m:r>
            </m:e>
            <m:sup>
              <m:r>
                <w:rPr>
                  <w:rFonts w:ascii="Cambria Math" w:hAnsi="Cambria Math"/>
                </w:rPr>
                <m:t>-7</m:t>
              </m:r>
            </m:sup>
          </m:sSup>
          <m:r>
            <w:rPr>
              <w:rFonts w:ascii="Cambria Math" w:hAnsi="Cambria Math"/>
            </w:rPr>
            <m:t>*648,87=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4,87.10</m:t>
              </m:r>
            </m:e>
            <m:sup>
              <m:r>
                <w:rPr>
                  <w:rFonts w:ascii="Cambria Math" w:hAnsi="Cambria Math"/>
                </w:rPr>
                <m:t>-4</m:t>
              </m:r>
            </m:sup>
          </m:sSup>
          <m:r>
            <w:rPr>
              <w:rFonts w:ascii="Cambria Math" w:hAnsi="Cambria Math"/>
            </w:rPr>
            <m:t>grammes=487 microgrammes</m:t>
          </m:r>
        </m:oMath>
      </m:oMathPara>
    </w:p>
    <w:p w:rsidR="00201ED6" w:rsidRDefault="00201ED6"/>
    <w:p w:rsidR="00495E7F" w:rsidRDefault="00495E7F"/>
    <w:p w:rsidR="00495E7F" w:rsidRDefault="00495E7F"/>
    <w:p w:rsidR="009E1D10" w:rsidRDefault="00576722">
      <w:pPr>
        <w:rPr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288925</wp:posOffset>
            </wp:positionV>
            <wp:extent cx="4206240" cy="4145280"/>
            <wp:effectExtent l="0" t="0" r="3810" b="762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9A5" w:rsidRPr="002B3463">
        <w:rPr>
          <w:b/>
          <w:sz w:val="28"/>
          <w:szCs w:val="28"/>
          <w:u w:val="single"/>
        </w:rPr>
        <w:t>CDLSA</w:t>
      </w:r>
      <w:r w:rsidR="002B3463">
        <w:rPr>
          <w:b/>
          <w:sz w:val="28"/>
          <w:szCs w:val="28"/>
          <w:u w:val="single"/>
        </w:rPr>
        <w:t> :</w:t>
      </w:r>
    </w:p>
    <w:p w:rsidR="002B3463" w:rsidRDefault="002B3463"/>
    <w:p w:rsidR="00525D4F" w:rsidRDefault="00525D4F">
      <w:proofErr w:type="spellStart"/>
      <w:r>
        <w:t>Cinnamylidène-bilysergamide</w:t>
      </w:r>
      <w:proofErr w:type="spellEnd"/>
    </w:p>
    <w:p w:rsidR="00177BF4" w:rsidRDefault="00177BF4">
      <w:r>
        <w:t>Masse molaire = 648,87</w:t>
      </w:r>
    </w:p>
    <w:p w:rsidR="00177BF4" w:rsidRDefault="00177BF4">
      <w:r>
        <w:t xml:space="preserve">XLogP3 = </w:t>
      </w:r>
      <w:r w:rsidR="00186B59">
        <w:t>4,3 (LogP3 théorique, basé sur les atomes et liaisons de la molécule</w:t>
      </w:r>
      <w:r w:rsidR="008E600C">
        <w:t>)</w:t>
      </w:r>
    </w:p>
    <w:p w:rsidR="00C20BD6" w:rsidRDefault="009028CC">
      <w:r>
        <w:t xml:space="preserve">Le XlogP3 est hyper élevé, cela </w:t>
      </w:r>
      <w:r w:rsidR="00405528">
        <w:t xml:space="preserve">signifie que la molécule passe très rapidement les membranes lipidiques et arrive extrêmement vite au cerveau. </w:t>
      </w:r>
      <w:r w:rsidR="00CB3035">
        <w:t xml:space="preserve">Et effectivement les utilisateurs éprouvent les premiers effets au bout de 5 minutes après ingestion, ce qui est très inhabituel pour un lysergide. </w:t>
      </w:r>
      <w:r w:rsidR="006F11FD">
        <w:t xml:space="preserve">Son haut XlogP3 implique aussi une très bonne fixation aux récepteurs, </w:t>
      </w:r>
      <w:r w:rsidR="00C20BD6">
        <w:t>ce qui explique les effets proches du LSD.</w:t>
      </w:r>
    </w:p>
    <w:p w:rsidR="00CB3035" w:rsidRDefault="00491D1A">
      <w:r>
        <w:t>Cependant du fait de sa taille, la molécule est sûrement plus fragile aux dégradations enzymatiques ce qui pourrait expliquer la faible durée du trip, environ de 5 heures.</w:t>
      </w:r>
    </w:p>
    <w:p w:rsidR="00C20BD6" w:rsidRDefault="00C20BD6"/>
    <w:p w:rsidR="00C20BD6" w:rsidRDefault="00C20BD6">
      <w:r>
        <w:t xml:space="preserve">Je tiens à préciser que je me base sur des données scientifiques mais que c'est de l’extrapolation, rien n’est prouvé même pas </w:t>
      </w:r>
      <w:r w:rsidR="00245760">
        <w:t>l</w:t>
      </w:r>
      <w:r>
        <w:t>‘existence de</w:t>
      </w:r>
      <w:r w:rsidR="00245760">
        <w:t xml:space="preserve"> ce Lysergamide, c’est juste l</w:t>
      </w:r>
      <w:r w:rsidR="00B96E62">
        <w:t>’e</w:t>
      </w:r>
      <w:r w:rsidR="00245760">
        <w:t xml:space="preserve">xplication </w:t>
      </w:r>
      <w:r w:rsidR="00B96E62">
        <w:t xml:space="preserve">théorique la plus probable pour expliquer </w:t>
      </w:r>
      <w:r w:rsidR="007D1E70">
        <w:t>les effets radicalement nouveaux ressentis par les personnes qui ont expérimentés ce mélange.</w:t>
      </w:r>
    </w:p>
    <w:p w:rsidR="007D1E70" w:rsidRDefault="007D1E70"/>
    <w:p w:rsidR="007D1E70" w:rsidRDefault="007D1E70"/>
    <w:p w:rsidR="007D1E70" w:rsidRDefault="007D1E70">
      <w:r>
        <w:lastRenderedPageBreak/>
        <w:t>Sources :</w:t>
      </w:r>
    </w:p>
    <w:p w:rsidR="007D1E70" w:rsidRDefault="007D1E70"/>
    <w:p w:rsidR="007D1E70" w:rsidRDefault="006A5ADC">
      <w:hyperlink r:id="rId7" w:history="1">
        <w:r w:rsidR="00C80F05" w:rsidRPr="007E1A55">
          <w:rPr>
            <w:rStyle w:val="Lienhypertexte"/>
          </w:rPr>
          <w:t>http://herbpedia.wikidot.com/cinnamylidene-bislysergamide</w:t>
        </w:r>
      </w:hyperlink>
    </w:p>
    <w:p w:rsidR="00C80F05" w:rsidRDefault="006A5ADC">
      <w:hyperlink r:id="rId8" w:history="1">
        <w:r w:rsidR="00E57E65" w:rsidRPr="007E1A55">
          <w:rPr>
            <w:rStyle w:val="Lienhypertexte"/>
          </w:rPr>
          <w:t>https://www.dmt-nexus.me/forum/default.aspx?g=posts&amp;t=6441</w:t>
        </w:r>
      </w:hyperlink>
    </w:p>
    <w:p w:rsidR="00E57E65" w:rsidRDefault="006A5ADC">
      <w:hyperlink r:id="rId9" w:history="1">
        <w:r w:rsidR="00C8235C" w:rsidRPr="007E1A55">
          <w:rPr>
            <w:rStyle w:val="Lienhypertexte"/>
          </w:rPr>
          <w:t>https://www.google.com/amp/s/www.researchgate.net/publication/18467291_Ergoline_alkaloidal_constituents_of_Hawaiian_baby_wood_rose_Argyreia_nervosa_Burm_f_Bojer/amp</w:t>
        </w:r>
      </w:hyperlink>
    </w:p>
    <w:p w:rsidR="00C8235C" w:rsidRDefault="006A5ADC">
      <w:hyperlink r:id="rId10" w:history="1">
        <w:r w:rsidR="00E63F8A" w:rsidRPr="007E1A55">
          <w:rPr>
            <w:rStyle w:val="Lienhypertexte"/>
          </w:rPr>
          <w:t>https://www.naturactive.fr/reponses-sante-naturelles/aromatherapie/huiles-essentielles-bio/cannelier-de-chine-huile-essentielle</w:t>
        </w:r>
      </w:hyperlink>
    </w:p>
    <w:p w:rsidR="00E63F8A" w:rsidRDefault="006A5ADC">
      <w:hyperlink r:id="rId11" w:history="1">
        <w:r w:rsidR="009D39B6" w:rsidRPr="007E1A55">
          <w:rPr>
            <w:rStyle w:val="Lienhypertexte"/>
          </w:rPr>
          <w:t>https://www.google.com/amp/s/www.tapatalk.com/groups/herbsmxf/viewtopic.php%3ft=8373102&amp;amp=1&amp;start=20</w:t>
        </w:r>
      </w:hyperlink>
    </w:p>
    <w:p w:rsidR="009D39B6" w:rsidRDefault="006A5ADC">
      <w:hyperlink r:id="rId12" w:anchor=".VTLVx5PXtgs" w:history="1">
        <w:r w:rsidR="002605C5" w:rsidRPr="007E1A55">
          <w:rPr>
            <w:rStyle w:val="Lienhypertexte"/>
          </w:rPr>
          <w:t>https://www.tapatalk.com/groups/herbsmxf/lsa-cinnamaldehyde-cinnamon-essential-oil-t3837869.html#.VTLVx5PXtgs</w:t>
        </w:r>
      </w:hyperlink>
    </w:p>
    <w:p w:rsidR="002605C5" w:rsidRPr="002B3463" w:rsidRDefault="002605C5"/>
    <w:sectPr w:rsidR="002605C5" w:rsidRPr="002B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F8"/>
    <w:rsid w:val="00002B32"/>
    <w:rsid w:val="00015F12"/>
    <w:rsid w:val="00026ED9"/>
    <w:rsid w:val="0004498B"/>
    <w:rsid w:val="000531B5"/>
    <w:rsid w:val="00066FF9"/>
    <w:rsid w:val="0006715E"/>
    <w:rsid w:val="00085A21"/>
    <w:rsid w:val="000A1A92"/>
    <w:rsid w:val="000A7007"/>
    <w:rsid w:val="000B15B2"/>
    <w:rsid w:val="000D3E0B"/>
    <w:rsid w:val="001005E8"/>
    <w:rsid w:val="00107900"/>
    <w:rsid w:val="00122FB9"/>
    <w:rsid w:val="001277FF"/>
    <w:rsid w:val="00144C07"/>
    <w:rsid w:val="001459EA"/>
    <w:rsid w:val="00171510"/>
    <w:rsid w:val="00177BF4"/>
    <w:rsid w:val="00186B59"/>
    <w:rsid w:val="001E30F6"/>
    <w:rsid w:val="001F3954"/>
    <w:rsid w:val="001F6FA7"/>
    <w:rsid w:val="00201ED6"/>
    <w:rsid w:val="00224E04"/>
    <w:rsid w:val="00225DA6"/>
    <w:rsid w:val="00245760"/>
    <w:rsid w:val="002605C5"/>
    <w:rsid w:val="002A3BA9"/>
    <w:rsid w:val="002B28BC"/>
    <w:rsid w:val="002B3463"/>
    <w:rsid w:val="002B6C53"/>
    <w:rsid w:val="002C5307"/>
    <w:rsid w:val="002E433A"/>
    <w:rsid w:val="002F01E5"/>
    <w:rsid w:val="002F1F9C"/>
    <w:rsid w:val="0032449A"/>
    <w:rsid w:val="0034226F"/>
    <w:rsid w:val="00347EEF"/>
    <w:rsid w:val="003922D4"/>
    <w:rsid w:val="003B3650"/>
    <w:rsid w:val="003D36A3"/>
    <w:rsid w:val="003E274E"/>
    <w:rsid w:val="00405528"/>
    <w:rsid w:val="0042135F"/>
    <w:rsid w:val="00426452"/>
    <w:rsid w:val="0045792B"/>
    <w:rsid w:val="00491D1A"/>
    <w:rsid w:val="00495E7F"/>
    <w:rsid w:val="004A1BBE"/>
    <w:rsid w:val="004A7A86"/>
    <w:rsid w:val="004B2D3F"/>
    <w:rsid w:val="004E3232"/>
    <w:rsid w:val="004F5901"/>
    <w:rsid w:val="00510231"/>
    <w:rsid w:val="00525D4F"/>
    <w:rsid w:val="00564220"/>
    <w:rsid w:val="00576722"/>
    <w:rsid w:val="00590DEE"/>
    <w:rsid w:val="005A1BE7"/>
    <w:rsid w:val="005A4CF3"/>
    <w:rsid w:val="006452B8"/>
    <w:rsid w:val="006535F4"/>
    <w:rsid w:val="006A4A17"/>
    <w:rsid w:val="006A5ADC"/>
    <w:rsid w:val="006B7DCB"/>
    <w:rsid w:val="006C40F8"/>
    <w:rsid w:val="006D7796"/>
    <w:rsid w:val="006F11FD"/>
    <w:rsid w:val="0077189F"/>
    <w:rsid w:val="007D1E70"/>
    <w:rsid w:val="007E7A0A"/>
    <w:rsid w:val="007F234E"/>
    <w:rsid w:val="007F69BA"/>
    <w:rsid w:val="007F77EB"/>
    <w:rsid w:val="00801A86"/>
    <w:rsid w:val="00827B22"/>
    <w:rsid w:val="00850F4F"/>
    <w:rsid w:val="00867060"/>
    <w:rsid w:val="008A1100"/>
    <w:rsid w:val="008B1CB4"/>
    <w:rsid w:val="008B5FA4"/>
    <w:rsid w:val="008E600C"/>
    <w:rsid w:val="009028CC"/>
    <w:rsid w:val="009527F0"/>
    <w:rsid w:val="009733A5"/>
    <w:rsid w:val="009843DC"/>
    <w:rsid w:val="0099319A"/>
    <w:rsid w:val="009A4027"/>
    <w:rsid w:val="009C7AF7"/>
    <w:rsid w:val="009D06EF"/>
    <w:rsid w:val="009D31A2"/>
    <w:rsid w:val="009D39B6"/>
    <w:rsid w:val="009E113E"/>
    <w:rsid w:val="009E1D10"/>
    <w:rsid w:val="00A23133"/>
    <w:rsid w:val="00A717E7"/>
    <w:rsid w:val="00A80360"/>
    <w:rsid w:val="00A91334"/>
    <w:rsid w:val="00A967AD"/>
    <w:rsid w:val="00A97141"/>
    <w:rsid w:val="00AA29A5"/>
    <w:rsid w:val="00AC57D2"/>
    <w:rsid w:val="00AD4373"/>
    <w:rsid w:val="00B8598C"/>
    <w:rsid w:val="00B96E62"/>
    <w:rsid w:val="00BB684F"/>
    <w:rsid w:val="00BD30E1"/>
    <w:rsid w:val="00C0375B"/>
    <w:rsid w:val="00C20BD6"/>
    <w:rsid w:val="00C3338D"/>
    <w:rsid w:val="00C520F0"/>
    <w:rsid w:val="00C6028E"/>
    <w:rsid w:val="00C80F05"/>
    <w:rsid w:val="00C8235C"/>
    <w:rsid w:val="00C82AD5"/>
    <w:rsid w:val="00C945D4"/>
    <w:rsid w:val="00C95526"/>
    <w:rsid w:val="00CA1632"/>
    <w:rsid w:val="00CA3FC8"/>
    <w:rsid w:val="00CB3035"/>
    <w:rsid w:val="00CC1FEB"/>
    <w:rsid w:val="00CC5988"/>
    <w:rsid w:val="00D05EB2"/>
    <w:rsid w:val="00D14BE1"/>
    <w:rsid w:val="00D35335"/>
    <w:rsid w:val="00D40646"/>
    <w:rsid w:val="00D42227"/>
    <w:rsid w:val="00D6625C"/>
    <w:rsid w:val="00D842E9"/>
    <w:rsid w:val="00DA521C"/>
    <w:rsid w:val="00DA56FD"/>
    <w:rsid w:val="00DB152A"/>
    <w:rsid w:val="00DB3926"/>
    <w:rsid w:val="00DC6D23"/>
    <w:rsid w:val="00DD0922"/>
    <w:rsid w:val="00DD366E"/>
    <w:rsid w:val="00DE35A9"/>
    <w:rsid w:val="00DF3B1F"/>
    <w:rsid w:val="00E025BF"/>
    <w:rsid w:val="00E57E65"/>
    <w:rsid w:val="00E63F8A"/>
    <w:rsid w:val="00E66386"/>
    <w:rsid w:val="00E756B8"/>
    <w:rsid w:val="00E859E5"/>
    <w:rsid w:val="00EA446D"/>
    <w:rsid w:val="00EB442E"/>
    <w:rsid w:val="00EB4E9B"/>
    <w:rsid w:val="00ED220E"/>
    <w:rsid w:val="00EE2264"/>
    <w:rsid w:val="00F040AC"/>
    <w:rsid w:val="00F15DC7"/>
    <w:rsid w:val="00F42667"/>
    <w:rsid w:val="00F468E6"/>
    <w:rsid w:val="00F51C7C"/>
    <w:rsid w:val="00F903F2"/>
    <w:rsid w:val="00F9735F"/>
    <w:rsid w:val="00FB048F"/>
    <w:rsid w:val="00FB7521"/>
    <w:rsid w:val="00FB7551"/>
    <w:rsid w:val="00FD5240"/>
    <w:rsid w:val="00FF09F5"/>
    <w:rsid w:val="00FF34AC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7CBCFD"/>
  <w15:chartTrackingRefBased/>
  <w15:docId w15:val="{0F140CD0-AA48-2747-BA56-7746AA9F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5901"/>
    <w:rPr>
      <w:color w:val="808080"/>
    </w:rPr>
  </w:style>
  <w:style w:type="table" w:styleId="Grilledutableau">
    <w:name w:val="Table Grid"/>
    <w:basedOn w:val="TableauNormal"/>
    <w:uiPriority w:val="39"/>
    <w:rsid w:val="00DB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80F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0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t-nexus.me/forum/default.aspx?g=posts&amp;t=6441" TargetMode="Externa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://herbpedia.wikidot.com/cinnamylidene-bislysergamide" TargetMode="External" /><Relationship Id="rId12" Type="http://schemas.openxmlformats.org/officeDocument/2006/relationships/hyperlink" Target="https://www.tapatalk.com/groups/herbsmxf/lsa-cinnamaldehyde-cinnamon-essential-oil-t3837869.html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hyperlink" Target="https://www.google.com/amp/s/www.tapatalk.com/groups/herbsmxf/viewtopic.php%3ft=8373102&amp;amp=1&amp;start=20" TargetMode="External" /><Relationship Id="rId5" Type="http://schemas.openxmlformats.org/officeDocument/2006/relationships/image" Target="media/image2.jpeg" /><Relationship Id="rId10" Type="http://schemas.openxmlformats.org/officeDocument/2006/relationships/hyperlink" Target="https://www.naturactive.fr/reponses-sante-naturelles/aromatherapie/huiles-essentielles-bio/cannelier-de-chine-huile-essentielle" TargetMode="External" /><Relationship Id="rId4" Type="http://schemas.openxmlformats.org/officeDocument/2006/relationships/image" Target="media/image1.jpeg" /><Relationship Id="rId9" Type="http://schemas.openxmlformats.org/officeDocument/2006/relationships/hyperlink" Target="https://www.google.com/amp/s/www.researchgate.net/publication/18467291_Ergoline_alkaloidal_constituents_of_Hawaiian_baby_wood_rose_Argyreia_nervosa_Burm_f_Bojer/amp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953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Utilisateur invité</cp:lastModifiedBy>
  <cp:revision>4</cp:revision>
  <dcterms:created xsi:type="dcterms:W3CDTF">2019-03-07T17:09:00Z</dcterms:created>
  <dcterms:modified xsi:type="dcterms:W3CDTF">2019-03-07T17:45:00Z</dcterms:modified>
</cp:coreProperties>
</file>